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3.png" ContentType="image/png"/>
  <Override PartName="/word/media/rId30.png" ContentType="image/png"/>
  <Override PartName="/word/media/rId34.png" ContentType="image/png"/>
  <Override PartName="/word/media/rId38.png" ContentType="image/png"/>
  <Override PartName="/word/media/rId35.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45" w:name="social-and-economic-impacts"/>
    <w:p>
      <w:pPr>
        <w:pStyle w:val="Heading1"/>
      </w:pPr>
      <w:r>
        <w:t xml:space="preserve">Social and economic impacts</w:t>
      </w:r>
    </w:p>
    <w:bookmarkStart w:id="29" w:name="improved-ndt-capacity-and-capability"/>
    <w:p>
      <w:pPr>
        <w:pStyle w:val="Heading2"/>
      </w:pPr>
      <w:r>
        <w:t xml:space="preserve">Improved NDT capacity and capability</w:t>
      </w:r>
    </w:p>
    <w:p>
      <w:pPr>
        <w:pStyle w:val="FirstParagraph"/>
      </w:pPr>
      <w:r>
        <w:t xml:space="preserve">The aim of this section is to assess the extent to which</w:t>
      </w:r>
      <w:r>
        <w:t xml:space="preserve"> </w:t>
      </w:r>
      <w:r>
        <w:rPr>
          <w:bCs/>
          <w:b/>
        </w:rPr>
        <w:t xml:space="preserve">i) the Government Parties (GPs) have fulfilled the Multilateral Recognition Agreement (MRA) requirements</w:t>
      </w:r>
      <w:r>
        <w:t xml:space="preserve"> </w:t>
      </w:r>
      <w:r>
        <w:t xml:space="preserve">of the International Commitee on Non-destructive Testing (ICNDT) as a result of the support under the RCA programme of IAEA;</w:t>
      </w:r>
      <w:r>
        <w:t xml:space="preserve"> </w:t>
      </w:r>
      <w:r>
        <w:rPr>
          <w:bCs/>
          <w:b/>
        </w:rPr>
        <w:t xml:space="preserve">ii) The support in establishing GPs’ NDT infrastructure through the RCA has enabled GPs to produce certified personnel</w:t>
      </w:r>
      <w:r>
        <w:t xml:space="preserve"> </w:t>
      </w:r>
      <w:r>
        <w:t xml:space="preserve">in advanced techniques (RT-D, PAUT, TOFD, PEC, etc), in addition to the conventional methods (RT, UT, MT, PT, ET), and</w:t>
      </w:r>
      <w:r>
        <w:t xml:space="preserve"> </w:t>
      </w:r>
      <w:r>
        <w:rPr>
          <w:bCs/>
          <w:b/>
        </w:rPr>
        <w:t xml:space="preserve">iii) the GPs have achieved increased self-reliance in NDT</w:t>
      </w:r>
      <w:r>
        <w:t xml:space="preserve">, including offering training and inspection activities to local industries as well as abroad.</w:t>
      </w:r>
    </w:p>
    <w:p>
      <w:pPr>
        <w:pStyle w:val="BodyText"/>
      </w:pPr>
      <w:r>
        <w:t xml:space="preserve">To present the main findings with respect of IAEA’ RCA programme contribution to improve capacity and capability, this is divided into three main sections: the contribution of the RCA programme on the enhancement and establishemtn of local infrastructure,Inspection companies and training centres, and certified personnel.</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1"/>
              </w:numPr>
              <w:jc w:val="left"/>
            </w:pPr>
            <w:r>
              <w:t xml:space="preserve">NDT Society is registered with APFNDT and ICNDT</w:t>
            </w:r>
          </w:p>
          <w:p>
            <w:pPr>
              <w:numPr>
                <w:ilvl w:val="0"/>
                <w:numId w:val="1001"/>
              </w:numPr>
              <w:jc w:val="left"/>
            </w:pPr>
            <w:r>
              <w:t xml:space="preserve">The society is a signatory to ICNDT MRA</w:t>
            </w:r>
          </w:p>
          <w:p>
            <w:pPr>
              <w:numPr>
                <w:ilvl w:val="0"/>
                <w:numId w:val="1001"/>
              </w:numPr>
              <w:jc w:val="left"/>
            </w:pPr>
            <w:r>
              <w:t xml:space="preserve">NCB for NDT accredited to ISO 17024</w:t>
            </w:r>
          </w:p>
          <w:p>
            <w:pPr>
              <w:numPr>
                <w:ilvl w:val="0"/>
                <w:numId w:val="1001"/>
              </w:numPr>
              <w:jc w:val="left"/>
            </w:pPr>
            <w:r>
              <w:t xml:space="preserve">NCB accepted for registration under the ICNDT MRA</w:t>
            </w:r>
          </w:p>
          <w:p>
            <w:pPr>
              <w:numPr>
                <w:ilvl w:val="0"/>
                <w:numId w:val="1001"/>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2"/>
              </w:numPr>
              <w:jc w:val="left"/>
            </w:pPr>
            <w:r>
              <w:t xml:space="preserve">NDT Society has been established</w:t>
            </w:r>
          </w:p>
          <w:p>
            <w:pPr>
              <w:numPr>
                <w:ilvl w:val="0"/>
                <w:numId w:val="1002"/>
              </w:numPr>
              <w:jc w:val="left"/>
            </w:pPr>
            <w:r>
              <w:t xml:space="preserve">National certification body on NDT has been established.</w:t>
            </w:r>
          </w:p>
          <w:p>
            <w:pPr>
              <w:numPr>
                <w:ilvl w:val="0"/>
                <w:numId w:val="1002"/>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bookmarkEnd w:id="29"/>
    <w:bookmarkStart w:id="32" w:name="infrastructure"/>
    <w:p>
      <w:pPr>
        <w:pStyle w:val="Heading2"/>
      </w:pPr>
      <w:r>
        <w:t xml:space="preserve">Infrastructure</w:t>
      </w:r>
    </w:p>
    <w:p>
      <w:pPr>
        <w:pStyle w:val="FirstParagraph"/>
      </w:pPr>
      <w:r>
        <w:t xml:space="preserve">For this evaluation, an excellent performance in terms of infrastructure is defined as the extent to which a GPs has fullfiled the MRA requirements of ICNDT and the status of the NDT infrastructure at the national level.</w:t>
      </w:r>
    </w:p>
    <w:p>
      <w:pPr>
        <w:pStyle w:val="CaptionedFigure"/>
      </w:pPr>
      <w:r>
        <w:drawing>
          <wp:inline>
            <wp:extent cx="5219700" cy="4874668"/>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p>
      <w:pPr>
        <w:pStyle w:val="BodyText"/>
      </w:pPr>
      <w:r>
        <w:t xml:space="preserve">Figure</w:t>
      </w:r>
      <w:r>
        <w:t xml:space="preserve"> </w:t>
      </w:r>
      <w:r>
        <w:t xml:space="preserve">2</w:t>
      </w:r>
      <w:r>
        <w:t xml:space="preserve"> </w:t>
      </w:r>
      <w:r>
        <w:t xml:space="preserve">shows the level of NDT infrastructure that each GP has in its country and the evaluation standards for each: out of the 20 countries that participated in the online survey,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standards on this dimension. (See criterion and standards in Annex X)</w:t>
      </w:r>
    </w:p>
    <w:bookmarkStart w:id="31" w:name="Xe9a74be38d3a3e1dc86124001a09bf2175903ce"/>
    <w:p>
      <w:pPr>
        <w:pStyle w:val="Heading3"/>
      </w:pPr>
      <w:r>
        <w:t xml:space="preserve">Contribution of RCA in GP’s infrastructure</w:t>
      </w:r>
    </w:p>
    <w:p>
      <w:pPr>
        <w:pStyle w:val="FirstParagraph"/>
      </w:pPr>
      <w:r>
        <w:t xml:space="preserve">To asses the contribution of RCA in the stablishement of NCBs and Naitonal Certification Schemes, the participants of the online survey were asked the extent to which they believe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ten GPs</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perceived that the establishment of their RCA could have been achieved without the support from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bookmarkEnd w:id="31"/>
    <w:bookmarkEnd w:id="32"/>
    <w:bookmarkStart w:id="37" w:name="Xd087b499a9e9b9f2ca6f68cc676cbe1c80da4e0"/>
    <w:p>
      <w:pPr>
        <w:pStyle w:val="Heading2"/>
      </w:pPr>
      <w:r>
        <w:t xml:space="preserve">Inspection companies and training centers</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As it can be seen in Figure</w:t>
      </w:r>
      <w:r>
        <w:t xml:space="preserve"> </w:t>
      </w:r>
      <w:r>
        <w:t xml:space="preserve">3</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3: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3: GP’s inspection and training centers: standards for self-reliance</w:t>
      </w:r>
    </w:p>
    <w:p>
      <w:pPr>
        <w:pStyle w:val="BodyText"/>
      </w:pPr>
      <w:r>
        <w:t xml:space="preserve">Figure</w:t>
      </w:r>
      <w:r>
        <w:t xml:space="preserve"> </w:t>
      </w:r>
      <w:r>
        <w:t xml:space="preserve">4</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4: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34"/>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4: Number of inspection centres by type of ownership and country</w:t>
      </w:r>
    </w:p>
    <w:p>
      <w:pPr>
        <w:pStyle w:val="BodyText"/>
      </w:pPr>
      <w:r>
        <w:t xml:space="preserve">Figure</w:t>
      </w:r>
      <w:r>
        <w:t xml:space="preserve"> </w:t>
      </w:r>
      <w:r>
        <w:t xml:space="preserve">5</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5: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35"/>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5: Number of inspection centres by type of ownership and country</w:t>
      </w:r>
    </w:p>
    <w:bookmarkStart w:id="36" w:name="Xec490a13f6bd3feacdfe57d06114e1981251722"/>
    <w:p>
      <w:pPr>
        <w:pStyle w:val="Heading3"/>
      </w:pPr>
      <w:r>
        <w:t xml:space="preserve">Contribution of RCA in the development of local inspection and training centers</w:t>
      </w:r>
    </w:p>
    <w:p>
      <w:pPr>
        <w:pStyle w:val="FirstParagraph"/>
      </w:pPr>
      <w:r>
        <w:t xml:space="preserve">According to the own perception of the GPs that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2</w:t>
      </w:r>
      <w:r>
        <w:t xml:space="preserve">)</w:t>
      </w:r>
    </w:p>
    <w:p>
      <w:pPr>
        <w:pStyle w:val="TableCaption"/>
      </w:pPr>
      <w:r>
        <w:t xml:space="preserve">Table 2: Contribution of RCA programme to the establishment of local inspection and training companies.</w:t>
      </w:r>
    </w:p>
    <w:tbl>
      <w:tblPr>
        <w:tblStyle w:val="Table"/>
        <w:tblW w:type="pct" w:w="5000.0"/>
        <w:tblLook w:firstRow="1" w:lastRow="0" w:firstColumn="0" w:lastColumn="0" w:noHBand="0" w:noVBand="0" w:val="0020"/>
        <w:tblCaption w:val="Table 2: Contribution of RCA programme to the establishment of local inspection and training compani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bookmarkEnd w:id="36"/>
    <w:bookmarkEnd w:id="37"/>
    <w:bookmarkStart w:id="39" w:name="certified-personnel"/>
    <w:p>
      <w:pPr>
        <w:pStyle w:val="Heading2"/>
      </w:pPr>
      <w:r>
        <w:t xml:space="preserve">Certified personnel</w:t>
      </w:r>
    </w:p>
    <w:p>
      <w:pPr>
        <w:pStyle w:val="FirstParagraph"/>
      </w:pPr>
      <w:r>
        <w:t xml:space="preserve">This section introduces the findings on the extent in which the support in establishing GPs’ NDT infrastructure through the RCA programme has enabled GPs to produce certified personnel in advanced techniques (RT-D, PAUT, TOFD, PEC, etc), in addition to the conventional methods (RT, UT, MT, PT, ET).</w:t>
      </w:r>
    </w:p>
    <w:p>
      <w:pPr>
        <w:pStyle w:val="BodyText"/>
      </w:pPr>
      <w:r>
        <w:t xml:space="preserve">Since 2020, the NDT RCA programme has contributed to the certification of 307,300 personnel by local NDT Accredited Training Centres in 15 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(223,840 personnel trained), followed by Penetrant Testing and Ultrasonic Testing. The total number of certified personnel under the RCA programme by country and sex is presented in Figure</w:t>
      </w:r>
      <w:r>
        <w:t xml:space="preserve"> </w:t>
      </w:r>
      <w:r>
        <w:t xml:space="preserve">6</w:t>
      </w:r>
      <w:r>
        <w:t xml:space="preserve"> </w:t>
      </w:r>
      <w:r>
        <w:t xml:space="preserve">below.</w:t>
      </w:r>
    </w:p>
    <w:p>
      <w:pPr>
        <w:pStyle w:val="CaptionedFigure"/>
      </w:pPr>
      <w:r>
        <w:drawing>
          <wp:inline>
            <wp:extent cx="5219700" cy="4015153"/>
            <wp:effectExtent b="0" l="0" r="0" t="0"/>
            <wp:docPr descr="Figure 6: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8"/>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6: Number personnel that was certified by local NDT training centers as a result of participating in RCA NDT.</w:t>
      </w:r>
    </w:p>
    <w:bookmarkEnd w:id="39"/>
    <w:bookmarkStart w:id="42" w:name="Xca6a6e5e2c267f128cc76cdd2a1075a210e1fc9"/>
    <w:p>
      <w:pPr>
        <w:pStyle w:val="Heading2"/>
      </w:pPr>
      <w:r>
        <w:t xml:space="preserve">Increased scope and scale of NDT demand and use</w:t>
      </w:r>
    </w:p>
    <w:bookmarkStart w:id="40" w:name="awareness-interest-and-application"/>
    <w:p>
      <w:pPr>
        <w:pStyle w:val="Heading3"/>
      </w:pPr>
      <w:r>
        <w:t xml:space="preserve">Awareness, interest, and application</w:t>
      </w:r>
    </w:p>
    <w:bookmarkEnd w:id="40"/>
    <w:bookmarkStart w:id="41" w:name="research-development"/>
    <w:p>
      <w:pPr>
        <w:pStyle w:val="Heading3"/>
      </w:pPr>
      <w:r>
        <w:t xml:space="preserve">Research &amp; Development</w:t>
      </w:r>
    </w:p>
    <w:bookmarkEnd w:id="41"/>
    <w:bookmarkEnd w:id="42"/>
    <w:bookmarkStart w:id="43" w:name="improved-health-and-safety"/>
    <w:p>
      <w:pPr>
        <w:pStyle w:val="Heading2"/>
      </w:pPr>
      <w:r>
        <w:t xml:space="preserve">Improved health and safety</w:t>
      </w:r>
    </w:p>
    <w:bookmarkEnd w:id="43"/>
    <w:bookmarkStart w:id="44" w:name="economic-value-aaron"/>
    <w:p>
      <w:pPr>
        <w:pStyle w:val="Heading2"/>
      </w:pPr>
      <w:r>
        <w:t xml:space="preserve">Economic value (Aaron)</w:t>
      </w:r>
    </w:p>
    <w:p>
      <w:r>
        <w:br w:type="page"/>
      </w:r>
    </w:p>
    <w:bookmarkEnd w:id="44"/>
    <w:bookmarkEnd w:id="45"/>
    <w:bookmarkStart w:id="46" w:name="conclusion"/>
    <w:p>
      <w:pPr>
        <w:pStyle w:val="Heading1"/>
      </w:pPr>
      <w:r>
        <w:t xml:space="preserve">Conclusion</w:t>
      </w:r>
    </w:p>
    <w:bookmarkEnd w:id="46"/>
    <w:bookmarkStart w:id="47" w:name="annex-case-studies"/>
    <w:p>
      <w:pPr>
        <w:pStyle w:val="Heading1"/>
      </w:pPr>
      <w:r>
        <w:t xml:space="preserve">Annex: Case studies</w:t>
      </w:r>
    </w:p>
    <w:bookmarkEnd w:id="47"/>
    <w:bookmarkStart w:id="52" w:name="annex-b-survey-analysis"/>
    <w:p>
      <w:pPr>
        <w:pStyle w:val="Heading1"/>
      </w:pPr>
      <w:r>
        <w:t xml:space="preserve">Annex B: Survey Analysis</w:t>
      </w:r>
    </w:p>
    <w:bookmarkStart w:id="48"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48"/>
    <w:bookmarkStart w:id="49"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3: Table 1: Key evidence for criterion 1</w:t>
      </w:r>
    </w:p>
    <w:tbl>
      <w:tblPr>
        <w:tblStyle w:val="Table"/>
        <w:tblW w:type="pct" w:w="5000.0"/>
        <w:tblLook w:firstRow="1" w:lastRow="0" w:firstColumn="0" w:lastColumn="0" w:noHBand="0" w:noVBand="0" w:val="0020"/>
        <w:tblCaption w:val="Table 3: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49"/>
    <w:bookmarkStart w:id="50"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3: Table 1: Key evidence for criterion 2</w:t>
      </w:r>
    </w:p>
    <w:tbl>
      <w:tblPr>
        <w:tblStyle w:val="Table"/>
        <w:tblW w:type="pct" w:w="5000.0"/>
        <w:tblLook w:firstRow="1" w:lastRow="0" w:firstColumn="0" w:lastColumn="0" w:noHBand="0" w:noVBand="0" w:val="0020"/>
        <w:tblCaption w:val="Table 3: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50"/>
    <w:bookmarkStart w:id="51"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51"/>
    <w:bookmarkEnd w:id="52"/>
    <w:bookmarkStart w:id="53" w:name="annex-c-economic-analysis"/>
    <w:p>
      <w:pPr>
        <w:pStyle w:val="Heading1"/>
      </w:pPr>
      <w:r>
        <w:t xml:space="preserve">Annex C: Economic Analysis</w:t>
      </w:r>
    </w:p>
    <w:bookmarkEnd w:id="53"/>
    <w:bookmarkStart w:id="54" w:name="annex-d-theory-of-change"/>
    <w:p>
      <w:pPr>
        <w:pStyle w:val="Heading1"/>
      </w:pPr>
      <w:r>
        <w:t xml:space="preserve">Annex D: Theory of Change</w:t>
      </w:r>
    </w:p>
    <w:bookmarkEnd w:id="54"/>
    <w:bookmarkStart w:id="55" w:name="annex-e-criteria-and-standards"/>
    <w:p>
      <w:pPr>
        <w:pStyle w:val="Heading1"/>
      </w:pPr>
      <w:r>
        <w:t xml:space="preserve">Annex E: Criteria and standards</w:t>
      </w:r>
    </w:p>
    <w:bookmarkEnd w:id="55"/>
    <w:bookmarkStart w:id="56" w:name="work-cited"/>
    <w:p>
      <w:pPr>
        <w:pStyle w:val="Heading1"/>
      </w:pPr>
      <w:r>
        <w:t xml:space="preserve">Work cited</w:t>
      </w:r>
    </w:p>
    <w:bookmarkEnd w:id="56"/>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2021-09-02T16:43:38Z</dcterms:created>
  <dcterms:modified xsi:type="dcterms:W3CDTF">2021-09-02T16:43:38Z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